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6E2" w:rsidRDefault="00DE7B0E">
      <w:pPr>
        <w:rPr>
          <w:sz w:val="36"/>
          <w:szCs w:val="36"/>
        </w:rPr>
      </w:pPr>
      <w:r w:rsidRPr="00DE7B0E">
        <w:rPr>
          <w:sz w:val="36"/>
          <w:szCs w:val="36"/>
        </w:rPr>
        <w:t>THÔNG TIN TÌM HIỂU</w:t>
      </w:r>
    </w:p>
    <w:p w:rsidR="00DE7B0E" w:rsidRDefault="00DE7B0E">
      <w:pPr>
        <w:rPr>
          <w:rFonts w:ascii="Arial" w:hAnsi="Arial" w:cs="Arial"/>
          <w:color w:val="333333"/>
          <w:sz w:val="26"/>
          <w:szCs w:val="26"/>
          <w:shd w:val="clear" w:color="auto" w:fill="FFFFFF"/>
        </w:rPr>
      </w:pPr>
      <w:r>
        <w:rPr>
          <w:rFonts w:ascii="Arial" w:hAnsi="Arial" w:cs="Arial"/>
          <w:color w:val="333333"/>
          <w:sz w:val="26"/>
          <w:szCs w:val="26"/>
          <w:shd w:val="clear" w:color="auto" w:fill="FFFFFF"/>
        </w:rPr>
        <w:t>Mã vạch mã UPC là một dạng mã vạch đặc biệt, Trong đó, phiên bản tiêu chuẩn (UPC-A), mã vạch bao gồm số nhà sản xuất năm số và số sản phẩm gồm năm chữ số. Ngoài ra còn có một số nhận dạng hệ thống số 1 ở đầu đoạn mã.</w:t>
      </w:r>
    </w:p>
    <w:p w:rsidR="00DE7B0E" w:rsidRPr="00DE7B0E" w:rsidRDefault="00DE7B0E" w:rsidP="00DE7B0E">
      <w:pPr>
        <w:shd w:val="clear" w:color="auto" w:fill="FFFFFF"/>
        <w:spacing w:after="120" w:line="312" w:lineRule="atLeast"/>
        <w:outlineLvl w:val="1"/>
        <w:rPr>
          <w:rFonts w:ascii="Arial" w:eastAsia="Times New Roman" w:hAnsi="Arial" w:cs="Arial"/>
          <w:color w:val="0A0A0A"/>
          <w:sz w:val="38"/>
          <w:szCs w:val="38"/>
        </w:rPr>
      </w:pPr>
      <w:r w:rsidRPr="00DE7B0E">
        <w:rPr>
          <w:rFonts w:ascii="Arial" w:eastAsia="Times New Roman" w:hAnsi="Arial" w:cs="Arial"/>
          <w:color w:val="0A0A0A"/>
          <w:sz w:val="38"/>
          <w:szCs w:val="38"/>
        </w:rPr>
        <w:t>Cách định dạng mã UPC</w:t>
      </w:r>
    </w:p>
    <w:p w:rsidR="00DE7B0E" w:rsidRPr="00DE7B0E" w:rsidRDefault="00DE7B0E" w:rsidP="00DE7B0E">
      <w:pPr>
        <w:shd w:val="clear" w:color="auto" w:fill="FFFFFF"/>
        <w:spacing w:after="312" w:line="240" w:lineRule="auto"/>
        <w:rPr>
          <w:rFonts w:ascii="Arial" w:eastAsia="Times New Roman" w:hAnsi="Arial" w:cs="Arial"/>
          <w:color w:val="333333"/>
          <w:sz w:val="26"/>
          <w:szCs w:val="26"/>
        </w:rPr>
      </w:pPr>
      <w:r w:rsidRPr="00DE7B0E">
        <w:rPr>
          <w:rFonts w:ascii="Arial" w:eastAsia="Times New Roman" w:hAnsi="Arial" w:cs="Arial"/>
          <w:color w:val="333333"/>
          <w:sz w:val="26"/>
          <w:szCs w:val="26"/>
        </w:rPr>
        <w:t>Mã Sản phẩm phổ quát được sử dụng trong bán lẻ Hoa Kỳ và Canada. Mã vạch UPC-A mang số GTIN-12 theo định nghĩa của GS1 Hoa Kỳ.</w:t>
      </w:r>
    </w:p>
    <w:p w:rsidR="00DE7B0E" w:rsidRPr="00DE7B0E" w:rsidRDefault="00DE7B0E" w:rsidP="00DE7B0E">
      <w:pPr>
        <w:shd w:val="clear" w:color="auto" w:fill="FFFFFF"/>
        <w:spacing w:after="312" w:line="240" w:lineRule="auto"/>
        <w:rPr>
          <w:rFonts w:ascii="Arial" w:eastAsia="Times New Roman" w:hAnsi="Arial" w:cs="Arial"/>
          <w:color w:val="333333"/>
          <w:sz w:val="26"/>
          <w:szCs w:val="26"/>
        </w:rPr>
      </w:pPr>
      <w:r w:rsidRPr="00DE7B0E">
        <w:rPr>
          <w:rFonts w:ascii="Arial" w:eastAsia="Times New Roman" w:hAnsi="Arial" w:cs="Arial"/>
          <w:color w:val="333333"/>
          <w:sz w:val="26"/>
          <w:szCs w:val="26"/>
        </w:rPr>
        <w:t>Số hệ thống số chỉ ra việc sử dụng một trong mười hệ thống số được xác định bởi UPC:</w:t>
      </w:r>
    </w:p>
    <w:p w:rsidR="00DE7B0E" w:rsidRPr="00DE7B0E" w:rsidRDefault="00DE7B0E" w:rsidP="00DE7B0E">
      <w:pPr>
        <w:numPr>
          <w:ilvl w:val="0"/>
          <w:numId w:val="1"/>
        </w:numPr>
        <w:shd w:val="clear" w:color="auto" w:fill="FFFFFF"/>
        <w:spacing w:before="100" w:beforeAutospacing="1" w:after="144" w:line="240" w:lineRule="auto"/>
        <w:ind w:left="1032"/>
        <w:rPr>
          <w:rFonts w:ascii="Arial" w:eastAsia="Times New Roman" w:hAnsi="Arial" w:cs="Arial"/>
          <w:color w:val="333333"/>
          <w:sz w:val="26"/>
          <w:szCs w:val="26"/>
        </w:rPr>
      </w:pPr>
      <w:r w:rsidRPr="00DE7B0E">
        <w:rPr>
          <w:rFonts w:ascii="Arial" w:eastAsia="Times New Roman" w:hAnsi="Arial" w:cs="Arial"/>
          <w:color w:val="333333"/>
          <w:sz w:val="26"/>
          <w:szCs w:val="26"/>
        </w:rPr>
        <w:t>0, 1, 6, 7 và 8 dành cho mã UPC thông thường.</w:t>
      </w:r>
    </w:p>
    <w:p w:rsidR="00DE7B0E" w:rsidRPr="00DE7B0E" w:rsidRDefault="00DE7B0E" w:rsidP="00DE7B0E">
      <w:pPr>
        <w:numPr>
          <w:ilvl w:val="0"/>
          <w:numId w:val="1"/>
        </w:numPr>
        <w:shd w:val="clear" w:color="auto" w:fill="FFFFFF"/>
        <w:spacing w:before="100" w:beforeAutospacing="1" w:after="144" w:line="240" w:lineRule="auto"/>
        <w:ind w:left="1032"/>
        <w:rPr>
          <w:rFonts w:ascii="Arial" w:eastAsia="Times New Roman" w:hAnsi="Arial" w:cs="Arial"/>
          <w:color w:val="333333"/>
          <w:sz w:val="26"/>
          <w:szCs w:val="26"/>
        </w:rPr>
      </w:pPr>
      <w:r w:rsidRPr="00DE7B0E">
        <w:rPr>
          <w:rFonts w:ascii="Arial" w:eastAsia="Times New Roman" w:hAnsi="Arial" w:cs="Arial"/>
          <w:color w:val="333333"/>
          <w:sz w:val="26"/>
          <w:szCs w:val="26"/>
        </w:rPr>
        <w:t>2 là dành cho các mặt hàng trọng lượng ngẫu nhiên, ví dụ như thịt, đánh dấu trong cửa hàng.</w:t>
      </w:r>
    </w:p>
    <w:p w:rsidR="00DE7B0E" w:rsidRPr="00DE7B0E" w:rsidRDefault="00DE7B0E" w:rsidP="00DE7B0E">
      <w:pPr>
        <w:numPr>
          <w:ilvl w:val="0"/>
          <w:numId w:val="1"/>
        </w:numPr>
        <w:shd w:val="clear" w:color="auto" w:fill="FFFFFF"/>
        <w:spacing w:before="100" w:beforeAutospacing="1" w:after="144" w:line="240" w:lineRule="auto"/>
        <w:ind w:left="1032"/>
        <w:rPr>
          <w:rFonts w:ascii="Arial" w:eastAsia="Times New Roman" w:hAnsi="Arial" w:cs="Arial"/>
          <w:color w:val="333333"/>
          <w:sz w:val="26"/>
          <w:szCs w:val="26"/>
        </w:rPr>
      </w:pPr>
      <w:r w:rsidRPr="00DE7B0E">
        <w:rPr>
          <w:rFonts w:ascii="Arial" w:eastAsia="Times New Roman" w:hAnsi="Arial" w:cs="Arial"/>
          <w:color w:val="333333"/>
          <w:sz w:val="26"/>
          <w:szCs w:val="26"/>
        </w:rPr>
        <w:t>3 là đối với Bộ luật Ma túy Quốc gia và Các Mục Liên quan Y tế Quốc gia.</w:t>
      </w:r>
    </w:p>
    <w:p w:rsidR="00DE7B0E" w:rsidRPr="00DE7B0E" w:rsidRDefault="00DE7B0E" w:rsidP="00DE7B0E">
      <w:pPr>
        <w:numPr>
          <w:ilvl w:val="0"/>
          <w:numId w:val="1"/>
        </w:numPr>
        <w:shd w:val="clear" w:color="auto" w:fill="FFFFFF"/>
        <w:spacing w:before="100" w:beforeAutospacing="1" w:after="144" w:line="240" w:lineRule="auto"/>
        <w:ind w:left="1032"/>
        <w:rPr>
          <w:rFonts w:ascii="Arial" w:eastAsia="Times New Roman" w:hAnsi="Arial" w:cs="Arial"/>
          <w:color w:val="333333"/>
          <w:sz w:val="26"/>
          <w:szCs w:val="26"/>
        </w:rPr>
      </w:pPr>
      <w:r w:rsidRPr="00DE7B0E">
        <w:rPr>
          <w:rFonts w:ascii="Arial" w:eastAsia="Times New Roman" w:hAnsi="Arial" w:cs="Arial"/>
          <w:color w:val="333333"/>
          <w:sz w:val="26"/>
          <w:szCs w:val="26"/>
        </w:rPr>
        <w:t>4 là để đánh dấu tại cửa hàng các mặt hàng không phải là thực phẩm.</w:t>
      </w:r>
    </w:p>
    <w:p w:rsidR="00DE7B0E" w:rsidRPr="00DE7B0E" w:rsidRDefault="00DE7B0E" w:rsidP="00DE7B0E">
      <w:pPr>
        <w:numPr>
          <w:ilvl w:val="0"/>
          <w:numId w:val="1"/>
        </w:numPr>
        <w:shd w:val="clear" w:color="auto" w:fill="FFFFFF"/>
        <w:spacing w:before="100" w:beforeAutospacing="1" w:after="144" w:line="240" w:lineRule="auto"/>
        <w:ind w:left="1032"/>
        <w:rPr>
          <w:rFonts w:ascii="Arial" w:eastAsia="Times New Roman" w:hAnsi="Arial" w:cs="Arial"/>
          <w:color w:val="333333"/>
          <w:sz w:val="26"/>
          <w:szCs w:val="26"/>
        </w:rPr>
      </w:pPr>
      <w:r w:rsidRPr="00DE7B0E">
        <w:rPr>
          <w:rFonts w:ascii="Arial" w:eastAsia="Times New Roman" w:hAnsi="Arial" w:cs="Arial"/>
          <w:color w:val="333333"/>
          <w:sz w:val="26"/>
          <w:szCs w:val="26"/>
        </w:rPr>
        <w:t>5 và 9 được sử dụng phiếu giảm giá.</w:t>
      </w:r>
    </w:p>
    <w:p w:rsidR="00DE7B0E" w:rsidRPr="00DE7B0E" w:rsidRDefault="00DE7B0E" w:rsidP="00DE7B0E">
      <w:pPr>
        <w:shd w:val="clear" w:color="auto" w:fill="DBEDFF"/>
        <w:spacing w:after="312" w:line="240" w:lineRule="auto"/>
        <w:rPr>
          <w:rFonts w:ascii="Arial" w:eastAsia="Times New Roman" w:hAnsi="Arial" w:cs="Arial"/>
          <w:i/>
          <w:iCs/>
          <w:color w:val="333333"/>
          <w:sz w:val="29"/>
          <w:szCs w:val="29"/>
        </w:rPr>
      </w:pPr>
      <w:r w:rsidRPr="00DE7B0E">
        <w:rPr>
          <w:rFonts w:ascii="Arial" w:eastAsia="Times New Roman" w:hAnsi="Arial" w:cs="Arial"/>
          <w:i/>
          <w:iCs/>
          <w:color w:val="333333"/>
          <w:sz w:val="29"/>
          <w:szCs w:val="29"/>
        </w:rPr>
        <w:t>Tham khảo các loại mã UPC tại đây: http:/www.computalabel.com/upcexamples.htm</w:t>
      </w:r>
    </w:p>
    <w:p w:rsidR="00DE7B0E" w:rsidRDefault="00DE7B0E" w:rsidP="00DE7B0E">
      <w:pPr>
        <w:shd w:val="clear" w:color="auto" w:fill="FFFFFF"/>
        <w:spacing w:after="312" w:line="240" w:lineRule="auto"/>
        <w:rPr>
          <w:rFonts w:ascii="Arial" w:eastAsia="Times New Roman" w:hAnsi="Arial" w:cs="Arial"/>
          <w:color w:val="333333"/>
          <w:sz w:val="26"/>
          <w:szCs w:val="26"/>
        </w:rPr>
      </w:pPr>
      <w:r w:rsidRPr="00DE7B0E">
        <w:rPr>
          <w:rFonts w:ascii="Arial" w:eastAsia="Times New Roman" w:hAnsi="Arial" w:cs="Arial"/>
          <w:color w:val="333333"/>
          <w:sz w:val="26"/>
          <w:szCs w:val="26"/>
        </w:rPr>
        <w:t>Biểu tượng UPC cũng có một số kiểm tra là số cuối của mã và được tính theo thuật toán được sử dụng cho EAN.</w:t>
      </w:r>
    </w:p>
    <w:p w:rsidR="00DE7B0E" w:rsidRDefault="00DE7B0E" w:rsidP="00DE7B0E">
      <w:pPr>
        <w:shd w:val="clear" w:color="auto" w:fill="FFFFFF"/>
        <w:spacing w:after="312" w:line="240" w:lineRule="auto"/>
        <w:rPr>
          <w:rFonts w:ascii="Arial" w:hAnsi="Arial" w:cs="Arial"/>
          <w:color w:val="222222"/>
          <w:shd w:val="clear" w:color="auto" w:fill="FFFFFF"/>
        </w:rPr>
      </w:pPr>
      <w:r>
        <w:rPr>
          <w:rFonts w:ascii="Arial" w:hAnsi="Arial" w:cs="Arial"/>
          <w:color w:val="222222"/>
          <w:shd w:val="clear" w:color="auto" w:fill="FFFFFF"/>
        </w:rPr>
        <w:t>Mã vạch </w:t>
      </w:r>
      <w:r>
        <w:rPr>
          <w:rFonts w:ascii="Arial" w:hAnsi="Arial" w:cs="Arial"/>
          <w:b/>
          <w:bCs/>
          <w:color w:val="222222"/>
          <w:shd w:val="clear" w:color="auto" w:fill="FFFFFF"/>
        </w:rPr>
        <w:t>UPC là</w:t>
      </w:r>
      <w:r>
        <w:rPr>
          <w:rFonts w:ascii="Arial" w:hAnsi="Arial" w:cs="Arial"/>
          <w:color w:val="222222"/>
          <w:shd w:val="clear" w:color="auto" w:fill="FFFFFF"/>
        </w:rPr>
        <w:t> viết tắt của từ Universal Product Code </w:t>
      </w:r>
      <w:r>
        <w:rPr>
          <w:rFonts w:ascii="Arial" w:hAnsi="Arial" w:cs="Arial"/>
          <w:b/>
          <w:bCs/>
          <w:color w:val="222222"/>
          <w:shd w:val="clear" w:color="auto" w:fill="FFFFFF"/>
        </w:rPr>
        <w:t>là</w:t>
      </w:r>
      <w:r>
        <w:rPr>
          <w:rFonts w:ascii="Arial" w:hAnsi="Arial" w:cs="Arial"/>
          <w:color w:val="222222"/>
          <w:shd w:val="clear" w:color="auto" w:fill="FFFFFF"/>
        </w:rPr>
        <w:t> một dạng mã vạch đặc biệt, chúng </w:t>
      </w:r>
      <w:r>
        <w:rPr>
          <w:rFonts w:ascii="Arial" w:hAnsi="Arial" w:cs="Arial"/>
          <w:b/>
          <w:bCs/>
          <w:color w:val="222222"/>
          <w:shd w:val="clear" w:color="auto" w:fill="FFFFFF"/>
        </w:rPr>
        <w:t>là</w:t>
      </w:r>
      <w:r>
        <w:rPr>
          <w:rFonts w:ascii="Arial" w:hAnsi="Arial" w:cs="Arial"/>
          <w:color w:val="222222"/>
          <w:shd w:val="clear" w:color="auto" w:fill="FFFFFF"/>
        </w:rPr>
        <w:t> một chuỗi 11 số (có giá trị từ 0 đến 9) và có một số kiểm tra ở cuối để tạo ra một chuỗi số mã vạch hoàn chỉnh </w:t>
      </w:r>
      <w:r>
        <w:rPr>
          <w:rFonts w:ascii="Arial" w:hAnsi="Arial" w:cs="Arial"/>
          <w:b/>
          <w:bCs/>
          <w:color w:val="222222"/>
          <w:shd w:val="clear" w:color="auto" w:fill="FFFFFF"/>
        </w:rPr>
        <w:t>là</w:t>
      </w:r>
      <w:r>
        <w:rPr>
          <w:rFonts w:ascii="Arial" w:hAnsi="Arial" w:cs="Arial"/>
          <w:color w:val="222222"/>
          <w:shd w:val="clear" w:color="auto" w:fill="FFFFFF"/>
        </w:rPr>
        <w:t> 12 số.</w:t>
      </w:r>
    </w:p>
    <w:p w:rsidR="00DE7B0E" w:rsidRDefault="00DE7B0E" w:rsidP="00DE7B0E">
      <w:pPr>
        <w:shd w:val="clear" w:color="auto" w:fill="FFFFFF"/>
        <w:spacing w:after="312" w:line="240" w:lineRule="auto"/>
        <w:rPr>
          <w:rFonts w:ascii="Arial" w:eastAsia="Times New Roman" w:hAnsi="Arial" w:cs="Arial"/>
          <w:color w:val="333333"/>
          <w:sz w:val="26"/>
          <w:szCs w:val="26"/>
        </w:rPr>
      </w:pPr>
      <w:r>
        <w:rPr>
          <w:rFonts w:ascii="Arial" w:hAnsi="Arial" w:cs="Arial"/>
          <w:color w:val="222222"/>
          <w:shd w:val="clear" w:color="auto" w:fill="FFFFFF"/>
        </w:rPr>
        <w:t>Mã vạch </w:t>
      </w:r>
      <w:r>
        <w:rPr>
          <w:rFonts w:ascii="Arial" w:hAnsi="Arial" w:cs="Arial"/>
          <w:b/>
          <w:bCs/>
          <w:color w:val="222222"/>
          <w:shd w:val="clear" w:color="auto" w:fill="FFFFFF"/>
        </w:rPr>
        <w:t>UPC là</w:t>
      </w:r>
      <w:r>
        <w:rPr>
          <w:rFonts w:ascii="Arial" w:hAnsi="Arial" w:cs="Arial"/>
          <w:color w:val="222222"/>
          <w:shd w:val="clear" w:color="auto" w:fill="FFFFFF"/>
        </w:rPr>
        <w:t> viết tắt của từ Universal Product Code </w:t>
      </w:r>
      <w:r>
        <w:rPr>
          <w:rFonts w:ascii="Arial" w:hAnsi="Arial" w:cs="Arial"/>
          <w:b/>
          <w:bCs/>
          <w:color w:val="222222"/>
          <w:shd w:val="clear" w:color="auto" w:fill="FFFFFF"/>
        </w:rPr>
        <w:t>là</w:t>
      </w:r>
      <w:r>
        <w:rPr>
          <w:rFonts w:ascii="Arial" w:hAnsi="Arial" w:cs="Arial"/>
          <w:color w:val="222222"/>
          <w:shd w:val="clear" w:color="auto" w:fill="FFFFFF"/>
        </w:rPr>
        <w:t> một dạng mã vạch đặc biệt, chúng </w:t>
      </w:r>
      <w:r>
        <w:rPr>
          <w:rFonts w:ascii="Arial" w:hAnsi="Arial" w:cs="Arial"/>
          <w:b/>
          <w:bCs/>
          <w:color w:val="222222"/>
          <w:shd w:val="clear" w:color="auto" w:fill="FFFFFF"/>
        </w:rPr>
        <w:t>là</w:t>
      </w:r>
      <w:r>
        <w:rPr>
          <w:rFonts w:ascii="Arial" w:hAnsi="Arial" w:cs="Arial"/>
          <w:color w:val="222222"/>
          <w:shd w:val="clear" w:color="auto" w:fill="FFFFFF"/>
        </w:rPr>
        <w:t> một chuỗi 11 số (có giá trị từ 0 đến 9) và có một số kiểm tra ở cuối để tạo ra một chuỗi số mã vạch hoàn chỉnh </w:t>
      </w:r>
      <w:r>
        <w:rPr>
          <w:rFonts w:ascii="Arial" w:hAnsi="Arial" w:cs="Arial"/>
          <w:b/>
          <w:bCs/>
          <w:color w:val="222222"/>
          <w:shd w:val="clear" w:color="auto" w:fill="FFFFFF"/>
        </w:rPr>
        <w:t>là</w:t>
      </w:r>
      <w:r>
        <w:rPr>
          <w:rFonts w:ascii="Arial" w:hAnsi="Arial" w:cs="Arial"/>
          <w:color w:val="222222"/>
          <w:shd w:val="clear" w:color="auto" w:fill="FFFFFF"/>
        </w:rPr>
        <w:t> 12 số.</w:t>
      </w:r>
    </w:p>
    <w:p w:rsidR="00DE7B0E" w:rsidRDefault="00DE7B0E" w:rsidP="00DE7B0E">
      <w:pPr>
        <w:shd w:val="clear" w:color="auto" w:fill="FFFFFF"/>
        <w:spacing w:after="312" w:line="240" w:lineRule="auto"/>
        <w:rPr>
          <w:rFonts w:ascii="Arial" w:eastAsia="Times New Roman" w:hAnsi="Arial" w:cs="Arial"/>
          <w:color w:val="333333"/>
          <w:sz w:val="26"/>
          <w:szCs w:val="26"/>
        </w:rPr>
      </w:pPr>
    </w:p>
    <w:p w:rsidR="00DE7B0E" w:rsidRPr="00DE7B0E" w:rsidRDefault="00DE7B0E" w:rsidP="00DE7B0E">
      <w:pPr>
        <w:shd w:val="clear" w:color="auto" w:fill="FFFFFF"/>
        <w:spacing w:after="312" w:line="240" w:lineRule="auto"/>
        <w:rPr>
          <w:rFonts w:ascii="Arial" w:eastAsia="Times New Roman" w:hAnsi="Arial" w:cs="Arial"/>
          <w:color w:val="333333"/>
          <w:sz w:val="26"/>
          <w:szCs w:val="26"/>
        </w:rPr>
      </w:pPr>
    </w:p>
    <w:p w:rsidR="00DE7B0E" w:rsidRPr="00DE7B0E" w:rsidRDefault="00DE7B0E">
      <w:pPr>
        <w:rPr>
          <w:sz w:val="28"/>
          <w:szCs w:val="28"/>
        </w:rPr>
      </w:pPr>
    </w:p>
    <w:p w:rsidR="00DE7B0E" w:rsidRDefault="00DE7B0E" w:rsidP="00DE7B0E">
      <w:pPr>
        <w:pBdr>
          <w:bottom w:val="single" w:sz="6" w:space="1" w:color="auto"/>
        </w:pBdr>
        <w:jc w:val="center"/>
      </w:pPr>
      <w:r>
        <w:rPr>
          <w:noProof/>
        </w:rPr>
        <w:lastRenderedPageBreak/>
        <w:drawing>
          <wp:inline distT="0" distB="0" distL="0" distR="0" wp14:anchorId="7653E68B" wp14:editId="6BCB7F0D">
            <wp:extent cx="2971800" cy="2019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49793" t="7443" b="31874"/>
                    <a:stretch/>
                  </pic:blipFill>
                  <pic:spPr bwMode="auto">
                    <a:xfrm>
                      <a:off x="0" y="0"/>
                      <a:ext cx="2984101" cy="2027658"/>
                    </a:xfrm>
                    <a:prstGeom prst="rect">
                      <a:avLst/>
                    </a:prstGeom>
                    <a:ln>
                      <a:noFill/>
                    </a:ln>
                    <a:extLst>
                      <a:ext uri="{53640926-AAD7-44D8-BBD7-CCE9431645EC}">
                        <a14:shadowObscured xmlns:a14="http://schemas.microsoft.com/office/drawing/2010/main"/>
                      </a:ext>
                    </a:extLst>
                  </pic:spPr>
                </pic:pic>
              </a:graphicData>
            </a:graphic>
          </wp:inline>
        </w:drawing>
      </w:r>
    </w:p>
    <w:p w:rsidR="00DE7B0E" w:rsidRDefault="00DE7B0E" w:rsidP="00DE7B0E">
      <w:pPr>
        <w:pBdr>
          <w:bottom w:val="single" w:sz="6" w:space="1" w:color="auto"/>
        </w:pBdr>
        <w:jc w:val="center"/>
      </w:pPr>
    </w:p>
    <w:p w:rsidR="00DE7B0E" w:rsidRDefault="00DE7B0E" w:rsidP="00DE7B0E">
      <w:pPr>
        <w:jc w:val="center"/>
        <w:rPr>
          <w:rFonts w:ascii="Arial" w:hAnsi="Arial" w:cs="Arial"/>
          <w:color w:val="222222"/>
          <w:shd w:val="clear" w:color="auto" w:fill="FFFFFF"/>
        </w:rPr>
      </w:pPr>
      <w:r>
        <w:rPr>
          <w:rFonts w:ascii="Arial" w:hAnsi="Arial" w:cs="Arial"/>
          <w:b/>
          <w:bCs/>
          <w:color w:val="222222"/>
          <w:shd w:val="clear" w:color="auto" w:fill="FFFFFF"/>
        </w:rPr>
        <w:t>Đơn</w:t>
      </w:r>
      <w:r>
        <w:rPr>
          <w:rFonts w:ascii="Arial" w:hAnsi="Arial" w:cs="Arial"/>
          <w:color w:val="222222"/>
          <w:shd w:val="clear" w:color="auto" w:fill="FFFFFF"/>
        </w:rPr>
        <w:t> đặt </w:t>
      </w:r>
      <w:r>
        <w:rPr>
          <w:rFonts w:ascii="Arial" w:hAnsi="Arial" w:cs="Arial"/>
          <w:b/>
          <w:bCs/>
          <w:color w:val="222222"/>
          <w:shd w:val="clear" w:color="auto" w:fill="FFFFFF"/>
        </w:rPr>
        <w:t>hàng</w:t>
      </w:r>
      <w:r>
        <w:rPr>
          <w:rFonts w:ascii="Arial" w:hAnsi="Arial" w:cs="Arial"/>
          <w:color w:val="222222"/>
          <w:shd w:val="clear" w:color="auto" w:fill="FFFFFF"/>
        </w:rPr>
        <w:t> (</w:t>
      </w:r>
      <w:r>
        <w:rPr>
          <w:rFonts w:ascii="Arial" w:hAnsi="Arial" w:cs="Arial"/>
          <w:b/>
          <w:bCs/>
          <w:color w:val="222222"/>
          <w:shd w:val="clear" w:color="auto" w:fill="FFFFFF"/>
        </w:rPr>
        <w:t>PO</w:t>
      </w:r>
      <w:r>
        <w:rPr>
          <w:rFonts w:ascii="Arial" w:hAnsi="Arial" w:cs="Arial"/>
          <w:color w:val="222222"/>
          <w:shd w:val="clear" w:color="auto" w:fill="FFFFFF"/>
        </w:rPr>
        <w:t>) </w:t>
      </w:r>
      <w:r>
        <w:rPr>
          <w:rFonts w:ascii="Arial" w:hAnsi="Arial" w:cs="Arial"/>
          <w:b/>
          <w:bCs/>
          <w:color w:val="222222"/>
          <w:shd w:val="clear" w:color="auto" w:fill="FFFFFF"/>
        </w:rPr>
        <w:t>là</w:t>
      </w:r>
      <w:r>
        <w:rPr>
          <w:rFonts w:ascii="Arial" w:hAnsi="Arial" w:cs="Arial"/>
          <w:color w:val="222222"/>
          <w:shd w:val="clear" w:color="auto" w:fill="FFFFFF"/>
        </w:rPr>
        <w:t> một tài liệu thương mại và ưu đãi chính thức đầu tiên do người mua cấp cho người bán cho biết loại, số lượng và giá thỏa thuận cho sản phẩm hoặc dịch vụ. Nó được sử dụng để kiểm soát việc mua sản phẩm và dịch vụ từ các nhà cung cấp bên ngoài.</w:t>
      </w:r>
    </w:p>
    <w:p w:rsidR="00DE7B0E" w:rsidRDefault="00DE7B0E" w:rsidP="00270C93">
      <w:pPr>
        <w:pBdr>
          <w:bottom w:val="single" w:sz="6" w:space="1" w:color="auto"/>
        </w:pBdr>
        <w:jc w:val="center"/>
      </w:pPr>
      <w:r>
        <w:rPr>
          <w:noProof/>
        </w:rPr>
        <w:drawing>
          <wp:inline distT="0" distB="0" distL="0" distR="0" wp14:anchorId="6813E9F0" wp14:editId="5F028190">
            <wp:extent cx="1935677" cy="2446317"/>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57467" t="8939" r="9771" b="17412"/>
                    <a:stretch/>
                  </pic:blipFill>
                  <pic:spPr bwMode="auto">
                    <a:xfrm>
                      <a:off x="0" y="0"/>
                      <a:ext cx="1947222" cy="2460908"/>
                    </a:xfrm>
                    <a:prstGeom prst="rect">
                      <a:avLst/>
                    </a:prstGeom>
                    <a:ln>
                      <a:noFill/>
                    </a:ln>
                    <a:extLst>
                      <a:ext uri="{53640926-AAD7-44D8-BBD7-CCE9431645EC}">
                        <a14:shadowObscured xmlns:a14="http://schemas.microsoft.com/office/drawing/2010/main"/>
                      </a:ext>
                    </a:extLst>
                  </pic:spPr>
                </pic:pic>
              </a:graphicData>
            </a:graphic>
          </wp:inline>
        </w:drawing>
      </w:r>
    </w:p>
    <w:p w:rsidR="00270C93" w:rsidRDefault="00270C93" w:rsidP="00270C93">
      <w:pPr>
        <w:pBdr>
          <w:bottom w:val="single" w:sz="6" w:space="1" w:color="auto"/>
        </w:pBdr>
        <w:jc w:val="center"/>
      </w:pPr>
    </w:p>
    <w:p w:rsidR="00270C93" w:rsidRDefault="00270C93" w:rsidP="00270C93">
      <w:pPr>
        <w:jc w:val="center"/>
      </w:pPr>
    </w:p>
    <w:p w:rsidR="002808C3" w:rsidRDefault="002362D0" w:rsidP="00270C93">
      <w:pPr>
        <w:jc w:val="center"/>
        <w:rPr>
          <w:rFonts w:ascii="Arial" w:hAnsi="Arial" w:cs="Arial"/>
          <w:color w:val="202122"/>
          <w:sz w:val="21"/>
          <w:szCs w:val="21"/>
          <w:shd w:val="clear" w:color="auto" w:fill="FFFFFF"/>
        </w:rPr>
      </w:pPr>
      <w:r>
        <w:rPr>
          <w:rFonts w:ascii="Arial" w:hAnsi="Arial" w:cs="Arial"/>
          <w:color w:val="202122"/>
          <w:sz w:val="21"/>
          <w:szCs w:val="21"/>
          <w:shd w:val="clear" w:color="auto" w:fill="FFFFFF"/>
        </w:rPr>
        <w:t>In </w:t>
      </w:r>
      <w:hyperlink r:id="rId8" w:tooltip="Fashion" w:history="1">
        <w:r>
          <w:rPr>
            <w:rStyle w:val="Hyperlink"/>
            <w:rFonts w:ascii="Arial" w:hAnsi="Arial" w:cs="Arial"/>
            <w:color w:val="0B0080"/>
            <w:sz w:val="21"/>
            <w:szCs w:val="21"/>
            <w:shd w:val="clear" w:color="auto" w:fill="FFFFFF"/>
          </w:rPr>
          <w:t>fashion</w:t>
        </w:r>
      </w:hyperlink>
      <w:r>
        <w:rPr>
          <w:rFonts w:ascii="Arial" w:hAnsi="Arial" w:cs="Arial"/>
          <w:color w:val="202122"/>
          <w:sz w:val="21"/>
          <w:szCs w:val="21"/>
          <w:shd w:val="clear" w:color="auto" w:fill="FFFFFF"/>
        </w:rPr>
        <w:t> and </w:t>
      </w:r>
      <w:hyperlink r:id="rId9" w:tooltip="Clothing" w:history="1">
        <w:r>
          <w:rPr>
            <w:rStyle w:val="Hyperlink"/>
            <w:rFonts w:ascii="Arial" w:hAnsi="Arial" w:cs="Arial"/>
            <w:color w:val="0B0080"/>
            <w:sz w:val="21"/>
            <w:szCs w:val="21"/>
            <w:shd w:val="clear" w:color="auto" w:fill="FFFFFF"/>
          </w:rPr>
          <w:t>clothing</w:t>
        </w:r>
      </w:hyperlink>
      <w:r>
        <w:rPr>
          <w:rFonts w:ascii="Arial" w:hAnsi="Arial" w:cs="Arial"/>
          <w:color w:val="202122"/>
          <w:sz w:val="21"/>
          <w:szCs w:val="21"/>
          <w:shd w:val="clear" w:color="auto" w:fill="FFFFFF"/>
        </w:rPr>
        <w:t>, a </w:t>
      </w:r>
      <w:r>
        <w:rPr>
          <w:rFonts w:ascii="Arial" w:hAnsi="Arial" w:cs="Arial"/>
          <w:b/>
          <w:bCs/>
          <w:color w:val="202122"/>
          <w:sz w:val="21"/>
          <w:szCs w:val="21"/>
          <w:shd w:val="clear" w:color="auto" w:fill="FFFFFF"/>
        </w:rPr>
        <w:t>petite size</w:t>
      </w:r>
      <w:r>
        <w:rPr>
          <w:rFonts w:ascii="Arial" w:hAnsi="Arial" w:cs="Arial"/>
          <w:color w:val="202122"/>
          <w:sz w:val="21"/>
          <w:szCs w:val="21"/>
          <w:shd w:val="clear" w:color="auto" w:fill="FFFFFF"/>
        </w:rPr>
        <w:t> is a </w:t>
      </w:r>
      <w:hyperlink r:id="rId10" w:tooltip="US standard clothing size" w:history="1">
        <w:r>
          <w:rPr>
            <w:rStyle w:val="Hyperlink"/>
            <w:rFonts w:ascii="Arial" w:hAnsi="Arial" w:cs="Arial"/>
            <w:color w:val="0B0080"/>
            <w:sz w:val="21"/>
            <w:szCs w:val="21"/>
            <w:shd w:val="clear" w:color="auto" w:fill="FFFFFF"/>
          </w:rPr>
          <w:t>standard clothing size</w:t>
        </w:r>
      </w:hyperlink>
      <w:r>
        <w:rPr>
          <w:rFonts w:ascii="Arial" w:hAnsi="Arial" w:cs="Arial"/>
          <w:color w:val="202122"/>
          <w:sz w:val="21"/>
          <w:szCs w:val="21"/>
          <w:shd w:val="clear" w:color="auto" w:fill="FFFFFF"/>
        </w:rPr>
        <w:t> </w:t>
      </w:r>
    </w:p>
    <w:p w:rsidR="00270C93" w:rsidRDefault="002362D0" w:rsidP="00270C93">
      <w:pPr>
        <w:jc w:val="center"/>
        <w:rPr>
          <w:rFonts w:ascii="Arial" w:hAnsi="Arial" w:cs="Arial"/>
          <w:color w:val="202122"/>
          <w:sz w:val="21"/>
          <w:szCs w:val="21"/>
          <w:shd w:val="clear" w:color="auto" w:fill="FFFFFF"/>
        </w:rPr>
      </w:pPr>
      <w:r>
        <w:rPr>
          <w:rFonts w:ascii="Arial" w:hAnsi="Arial" w:cs="Arial"/>
          <w:color w:val="202122"/>
          <w:sz w:val="21"/>
          <w:szCs w:val="21"/>
          <w:shd w:val="clear" w:color="auto" w:fill="FFFFFF"/>
        </w:rPr>
        <w:t>designed to fit women of shorter height than the average, typically 164 cm (5 ft 5 in)</w:t>
      </w:r>
    </w:p>
    <w:p w:rsidR="002362D0" w:rsidRDefault="002808C3" w:rsidP="00270C93">
      <w:pPr>
        <w:jc w:val="center"/>
      </w:pPr>
      <w:r>
        <w:t>size petti: dành cho người mập</w:t>
      </w:r>
    </w:p>
    <w:p w:rsidR="002808C3" w:rsidRDefault="002808C3" w:rsidP="00270C93">
      <w:pPr>
        <w:jc w:val="center"/>
      </w:pPr>
      <w:r>
        <w:t>size missy: hàng nữ trẻ</w:t>
      </w:r>
    </w:p>
    <w:p w:rsidR="002808C3" w:rsidRDefault="002808C3" w:rsidP="00270C93">
      <w:pPr>
        <w:jc w:val="center"/>
      </w:pPr>
      <w:r>
        <w:t>size woman: phụ nữ</w:t>
      </w:r>
    </w:p>
    <w:p w:rsidR="002808C3" w:rsidRDefault="002808C3" w:rsidP="00270C93">
      <w:pPr>
        <w:jc w:val="center"/>
      </w:pPr>
      <w:r>
        <w:t>---------------------------------</w:t>
      </w:r>
      <w:bookmarkStart w:id="0" w:name="_GoBack"/>
      <w:bookmarkEnd w:id="0"/>
    </w:p>
    <w:p w:rsidR="00270C93" w:rsidRDefault="00270C93" w:rsidP="00DE7B0E">
      <w:pPr>
        <w:jc w:val="center"/>
      </w:pPr>
    </w:p>
    <w:p w:rsidR="00270C93" w:rsidRDefault="00270C93" w:rsidP="00DE7B0E">
      <w:pPr>
        <w:jc w:val="center"/>
      </w:pPr>
    </w:p>
    <w:sectPr w:rsidR="00270C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AD66D3"/>
    <w:multiLevelType w:val="multilevel"/>
    <w:tmpl w:val="E67E3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B0E"/>
    <w:rsid w:val="000176E2"/>
    <w:rsid w:val="002362D0"/>
    <w:rsid w:val="00270C93"/>
    <w:rsid w:val="002808C3"/>
    <w:rsid w:val="00DE7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E7B0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E7B0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DE7B0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E7B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7B0E"/>
    <w:rPr>
      <w:rFonts w:ascii="Tahoma" w:hAnsi="Tahoma" w:cs="Tahoma"/>
      <w:sz w:val="16"/>
      <w:szCs w:val="16"/>
    </w:rPr>
  </w:style>
  <w:style w:type="character" w:styleId="Hyperlink">
    <w:name w:val="Hyperlink"/>
    <w:basedOn w:val="DefaultParagraphFont"/>
    <w:uiPriority w:val="99"/>
    <w:semiHidden/>
    <w:unhideWhenUsed/>
    <w:rsid w:val="002362D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E7B0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E7B0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DE7B0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E7B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7B0E"/>
    <w:rPr>
      <w:rFonts w:ascii="Tahoma" w:hAnsi="Tahoma" w:cs="Tahoma"/>
      <w:sz w:val="16"/>
      <w:szCs w:val="16"/>
    </w:rPr>
  </w:style>
  <w:style w:type="character" w:styleId="Hyperlink">
    <w:name w:val="Hyperlink"/>
    <w:basedOn w:val="DefaultParagraphFont"/>
    <w:uiPriority w:val="99"/>
    <w:semiHidden/>
    <w:unhideWhenUsed/>
    <w:rsid w:val="002362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1505554">
      <w:bodyDiv w:val="1"/>
      <w:marLeft w:val="0"/>
      <w:marRight w:val="0"/>
      <w:marTop w:val="0"/>
      <w:marBottom w:val="0"/>
      <w:divBdr>
        <w:top w:val="none" w:sz="0" w:space="0" w:color="auto"/>
        <w:left w:val="none" w:sz="0" w:space="0" w:color="auto"/>
        <w:bottom w:val="none" w:sz="0" w:space="0" w:color="auto"/>
        <w:right w:val="none" w:sz="0" w:space="0" w:color="auto"/>
      </w:divBdr>
      <w:divsChild>
        <w:div w:id="1509055517">
          <w:blockQuote w:val="1"/>
          <w:marLeft w:val="0"/>
          <w:marRight w:val="0"/>
          <w:marTop w:val="0"/>
          <w:marBottom w:val="300"/>
          <w:divBdr>
            <w:top w:val="none" w:sz="0" w:space="8" w:color="2E6ED5"/>
            <w:left w:val="single" w:sz="12" w:space="8" w:color="2E6ED5"/>
            <w:bottom w:val="none" w:sz="0" w:space="8" w:color="2E6ED5"/>
            <w:right w:val="none" w:sz="0" w:space="8" w:color="2E6ED5"/>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Fashion" TargetMode="Externa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en.wikipedia.org/wiki/US_standard_clothing_size" TargetMode="External"/><Relationship Id="rId4" Type="http://schemas.openxmlformats.org/officeDocument/2006/relationships/settings" Target="settings.xml"/><Relationship Id="rId9" Type="http://schemas.openxmlformats.org/officeDocument/2006/relationships/hyperlink" Target="https://en.wikipedia.org/wiki/Clot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324</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2020-06-07T09:31:00Z</dcterms:created>
  <dcterms:modified xsi:type="dcterms:W3CDTF">2020-06-07T10:47:00Z</dcterms:modified>
</cp:coreProperties>
</file>